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735AC" w14:textId="42933983" w:rsidR="00C365F8" w:rsidRDefault="004361B1" w:rsidP="00D46285">
      <w:pPr>
        <w:pStyle w:val="Heading1"/>
        <w:ind w:right="545"/>
        <w:rPr>
          <w:color w:val="2E74B5" w:themeColor="accent5" w:themeShade="BF"/>
        </w:rPr>
      </w:pPr>
      <w:r>
        <w:rPr>
          <w:color w:val="2E74B5" w:themeColor="accent5" w:themeShade="BF"/>
        </w:rPr>
        <w:t xml:space="preserve">Tema 5 del orden del día:</w:t>
      </w:r>
      <w:r>
        <w:rPr>
          <w:color w:val="2E74B5" w:themeColor="accent5" w:themeShade="BF"/>
        </w:rPr>
        <w:t xml:space="preserve">  </w:t>
      </w:r>
      <w:r>
        <w:rPr>
          <w:color w:val="2E74B5" w:themeColor="accent5" w:themeShade="BF"/>
        </w:rPr>
        <w:t xml:space="preserve">Discusión sobre el Registro de Solicitudes de Acción</w:t>
      </w:r>
    </w:p>
    <w:p w14:paraId="25121F92" w14:textId="43FB61AA" w:rsidR="00D46285" w:rsidRDefault="000219FD" w:rsidP="000219FD">
      <w:pPr>
        <w:pStyle w:val="Heading2"/>
        <w:rPr>
          <w:b w:val="0"/>
          <w:color w:val="000000" w:themeColor="text1"/>
          <w:sz w:val="20"/>
          <w:szCs w:val="20"/>
        </w:rPr>
      </w:pPr>
      <w:r>
        <w:rPr>
          <w:sz w:val="20"/>
          <w:szCs w:val="20"/>
        </w:rPr>
        <w:t xml:space="preserve">Nota:</w:t>
      </w:r>
      <w:r>
        <w:rPr>
          <w:sz w:val="20"/>
          <w:szCs w:val="20"/>
        </w:rPr>
        <w:t xml:space="preserve"> </w:t>
      </w:r>
      <w:r>
        <w:rPr>
          <w:sz w:val="20"/>
          <w:szCs w:val="20"/>
          <w:b w:val="0"/>
          <w:color w:val="000000" w:themeColor="text1"/>
        </w:rPr>
        <w:t xml:space="preserve">el presente documento informativo ha sido elaborado por el personal de apoyo de la ICANN.</w:t>
      </w:r>
    </w:p>
    <w:p w14:paraId="1DDE84B0" w14:textId="77777777" w:rsidR="000219FD" w:rsidRPr="000219FD" w:rsidRDefault="000219FD" w:rsidP="000219FD">
      <w:pPr>
        <w:pStyle w:val="BodyText"/>
        <w:rPr>
          <w:lang w:val="en-AU"/>
        </w:rPr>
      </w:pPr>
    </w:p>
    <w:p w14:paraId="3E153AFD" w14:textId="22C4B596" w:rsidR="00EA4C85" w:rsidRPr="00EA4C85" w:rsidRDefault="004361B1" w:rsidP="00EA4C85">
      <w:pPr>
        <w:pStyle w:val="Heading2"/>
      </w:pPr>
      <w:r>
        <w:t xml:space="preserve">Cuestión:</w:t>
      </w:r>
    </w:p>
    <w:p w14:paraId="02CB1543" w14:textId="77777777" w:rsidR="000219FD" w:rsidRDefault="00E15B53" w:rsidP="00D46285">
      <w:pPr>
        <w:pStyle w:val="Heading2"/>
      </w:pPr>
      <w:r>
        <w:tab/>
      </w:r>
    </w:p>
    <w:p w14:paraId="1FFD7AAC" w14:textId="7A50A4B1" w:rsidR="004134C7" w:rsidRPr="00D46285" w:rsidRDefault="00D46285" w:rsidP="00D46285">
      <w:pPr>
        <w:pStyle w:val="Heading2"/>
        <w:rPr>
          <w:b w:val="0"/>
          <w:color w:val="000000" w:themeColor="text1"/>
          <w:sz w:val="20"/>
          <w:szCs w:val="20"/>
        </w:rPr>
      </w:pPr>
      <w:r>
        <w:rPr>
          <w:b w:val="0"/>
          <w:color w:val="000000" w:themeColor="text1"/>
          <w:sz w:val="20"/>
          <w:szCs w:val="20"/>
        </w:rPr>
        <w:t xml:space="preserve">Esta sesión es una oportunidad para que el GAC revise el estado del Registro de Solicitudes de Acción (ARR) de la ICANN, que tiene como objetivo mejorar el seguimiento del asesoramiento del GAC a la Junta, antes de la reunión con el Grupo de Implementación de la Revisión entre la Junta y el GAC (BGRI).</w:t>
      </w:r>
    </w:p>
    <w:p w14:paraId="70008BCF" w14:textId="09C02DB0" w:rsidR="00D46285" w:rsidRPr="00D46285" w:rsidRDefault="00D46285" w:rsidP="00D46285">
      <w:pPr>
        <w:pStyle w:val="BodyText"/>
        <w:rPr>
          <w:sz w:val="20"/>
          <w:szCs w:val="20"/>
          <w:rFonts w:ascii="Century Gothic" w:hAnsi="Century Gothic"/>
        </w:rPr>
      </w:pPr>
      <w:r>
        <w:rPr>
          <w:sz w:val="20"/>
          <w:szCs w:val="20"/>
          <w:rFonts w:ascii="Century Gothic" w:hAnsi="Century Gothic"/>
        </w:rPr>
        <w:t xml:space="preserve">Véase documento informativo para el tema 10 del orden del día.</w:t>
      </w:r>
    </w:p>
    <w:p w14:paraId="1ED86E04" w14:textId="77777777" w:rsidR="000219FD" w:rsidRPr="0093040F" w:rsidRDefault="000219FD" w:rsidP="000219FD">
      <w:pPr>
        <w:pStyle w:val="Heading2"/>
      </w:pPr>
      <w:r>
        <w:t xml:space="preserve">Información de referencia:</w:t>
      </w:r>
    </w:p>
    <w:p w14:paraId="70016026" w14:textId="77777777" w:rsidR="000219FD" w:rsidRDefault="000219FD" w:rsidP="000219FD">
      <w:pPr>
        <w:pStyle w:val="BodyText"/>
        <w:rPr>
          <w:rFonts w:ascii="Century Gothic" w:hAnsi="Century Gothic"/>
          <w:sz w:val="20"/>
          <w:szCs w:val="20"/>
          <w:lang w:val="en-AU"/>
        </w:rPr>
      </w:pPr>
    </w:p>
    <w:p w14:paraId="7FD283B1" w14:textId="77777777" w:rsidR="000219FD" w:rsidRPr="00644800" w:rsidRDefault="000219FD" w:rsidP="000219FD">
      <w:pPr>
        <w:pStyle w:val="BodyText"/>
        <w:spacing w:line="276" w:lineRule="auto"/>
        <w:rPr>
          <w:sz w:val="20"/>
          <w:szCs w:val="20"/>
          <w:rFonts w:ascii="Century Gothic" w:hAnsi="Century Gothic"/>
        </w:rPr>
      </w:pPr>
      <w:r>
        <w:rPr>
          <w:sz w:val="20"/>
          <w:szCs w:val="20"/>
          <w:rFonts w:ascii="Century Gothic" w:hAnsi="Century Gothic"/>
        </w:rPr>
        <w:t xml:space="preserve">Durante la reunión ICANN61 en San Juan, el GAC celebró una reunión del Grupo de Implementación de las Recomendaciones de la Junta y el GAC (BGRI) (</w:t>
      </w:r>
      <w:r>
        <w:rPr>
          <w:sz w:val="20"/>
          <w:szCs w:val="20"/>
          <w:u w:val="single"/>
          <w:rFonts w:ascii="Century Gothic" w:hAnsi="Century Gothic"/>
        </w:rPr>
        <w:t xml:space="preserve">véase</w:t>
      </w:r>
      <w:r>
        <w:rPr>
          <w:sz w:val="20"/>
          <w:szCs w:val="20"/>
          <w:rFonts w:ascii="Century Gothic" w:hAnsi="Century Gothic"/>
        </w:rPr>
        <w:t xml:space="preserve"> la transcripción de la sesión en -</w:t>
      </w:r>
      <w:hyperlink r:id="rId7" w:history="1">
        <w:r>
          <w:rPr>
            <w:rStyle w:val="Hyperlink"/>
            <w:sz w:val="20"/>
            <w:szCs w:val="20"/>
            <w:rFonts w:ascii="Century Gothic" w:hAnsi="Century Gothic"/>
          </w:rPr>
          <w:t xml:space="preserve">https://static.ptbl.co/static/attachments/169285/1520888837.pdf?1520888837</w:t>
        </w:r>
      </w:hyperlink>
      <w:r>
        <w:rPr>
          <w:sz w:val="20"/>
          <w:szCs w:val="20"/>
          <w:rFonts w:ascii="Century Gothic" w:hAnsi="Century Gothic"/>
        </w:rPr>
        <w:t xml:space="preserve">.</w:t>
      </w:r>
      <w:r>
        <w:rPr>
          <w:sz w:val="20"/>
          <w:szCs w:val="20"/>
          <w:rFonts w:ascii="Century Gothic" w:hAnsi="Century Gothic"/>
        </w:rPr>
        <w:t xml:space="preserve"> </w:t>
      </w:r>
    </w:p>
    <w:p w14:paraId="4A132119" w14:textId="77777777" w:rsidR="000219FD" w:rsidRPr="00644800" w:rsidRDefault="000219FD" w:rsidP="000219FD">
      <w:pPr>
        <w:pStyle w:val="BodyText"/>
        <w:spacing w:line="276" w:lineRule="auto"/>
        <w:rPr>
          <w:sz w:val="20"/>
          <w:szCs w:val="20"/>
          <w:rFonts w:ascii="Century Gothic" w:hAnsi="Century Gothic"/>
        </w:rPr>
      </w:pPr>
      <w:r>
        <w:rPr>
          <w:sz w:val="20"/>
          <w:szCs w:val="20"/>
          <w:rFonts w:ascii="Century Gothic" w:hAnsi="Century Gothic"/>
        </w:rPr>
        <w:t xml:space="preserve">Entre los asuntos relativos a la implementación de las recomendaciones que se debatieron durante la sesión, los asistentes fueron informados sobre los últimos avances respecto de los esfuerzos del personal de la organización de la ICANN para poner en funcionamiento los componentes históricos del Asesoramiento del GAC del ARR – un inventario integral de asesoramientos anteriores del GAC que se remonta a abril de 2013 en la reunión pública de ICANN46 en Pekín.</w:t>
      </w:r>
    </w:p>
    <w:p w14:paraId="5AE9A967" w14:textId="77777777" w:rsidR="000219FD" w:rsidRPr="00644800" w:rsidRDefault="000219FD" w:rsidP="000219FD">
      <w:pPr>
        <w:pStyle w:val="BodyText"/>
        <w:spacing w:line="276" w:lineRule="auto"/>
        <w:rPr>
          <w:sz w:val="20"/>
          <w:szCs w:val="20"/>
          <w:rFonts w:ascii="Century Gothic" w:hAnsi="Century Gothic"/>
        </w:rPr>
      </w:pPr>
      <w:r>
        <w:rPr>
          <w:sz w:val="20"/>
          <w:szCs w:val="20"/>
          <w:rFonts w:ascii="Century Gothic" w:hAnsi="Century Gothic"/>
        </w:rPr>
        <w:t xml:space="preserve">El inventario actual del ARR está compuesto por 162 asesoramientos individuales del GAC (hasta el comunicado de ICANN60) de los cuales 26 aún son considerados que están en modo “Evaluar y considerar” o “Implementación”.</w:t>
      </w:r>
      <w:r>
        <w:rPr>
          <w:sz w:val="20"/>
          <w:szCs w:val="20"/>
          <w:rFonts w:ascii="Century Gothic" w:hAnsi="Century Gothic"/>
        </w:rPr>
        <w:t xml:space="preserve"> </w:t>
      </w:r>
      <w:r>
        <w:rPr>
          <w:sz w:val="20"/>
          <w:szCs w:val="20"/>
          <w:rFonts w:ascii="Century Gothic" w:hAnsi="Century Gothic"/>
        </w:rPr>
        <w:t xml:space="preserve">Los otros 136 asesoramientos son considerados que están en modo “solicitud de cierre” - una fase en la cual la organización de la ICANN ha determinado que el asesoramiento suministrado ha sido implementado y está “completo”.</w:t>
      </w:r>
    </w:p>
    <w:p w14:paraId="5114AEC8" w14:textId="77777777" w:rsidR="000219FD" w:rsidRDefault="000219FD" w:rsidP="000219FD">
      <w:pPr>
        <w:pStyle w:val="BodyText"/>
        <w:spacing w:after="0" w:line="276" w:lineRule="auto"/>
        <w:rPr>
          <w:sz w:val="20"/>
          <w:szCs w:val="20"/>
          <w:rFonts w:ascii="Century Gothic" w:hAnsi="Century Gothic"/>
        </w:rPr>
      </w:pPr>
      <w:r>
        <w:rPr>
          <w:sz w:val="20"/>
          <w:szCs w:val="20"/>
          <w:rFonts w:ascii="Century Gothic" w:hAnsi="Century Gothic"/>
        </w:rPr>
        <w:t xml:space="preserve">En ICANN 60, se acordó que se debería establecer un enfoque para confirmar que el GAC está de acuerdo con la evaluación actual de la organización de la ICANN de los 136 puntos anteriores de asesoramiento “cerrado”.</w:t>
      </w:r>
      <w:r>
        <w:rPr>
          <w:sz w:val="20"/>
          <w:szCs w:val="20"/>
          <w:rFonts w:ascii="Century Gothic" w:hAnsi="Century Gothic"/>
        </w:rPr>
        <w:t xml:space="preserve"> </w:t>
      </w:r>
      <w:r>
        <w:rPr>
          <w:sz w:val="20"/>
          <w:szCs w:val="20"/>
          <w:rFonts w:ascii="Century Gothic" w:hAnsi="Century Gothic"/>
        </w:rPr>
        <w:t xml:space="preserve">Hasta el momento, el proceso para dicha evaluación histórica no es claro.</w:t>
      </w:r>
      <w:r>
        <w:rPr>
          <w:sz w:val="20"/>
          <w:szCs w:val="20"/>
          <w:rFonts w:ascii="Century Gothic" w:hAnsi="Century Gothic"/>
        </w:rPr>
        <w:t xml:space="preserve"> </w:t>
      </w:r>
      <w:r>
        <w:rPr>
          <w:sz w:val="20"/>
          <w:szCs w:val="20"/>
          <w:rFonts w:ascii="Century Gothic" w:hAnsi="Century Gothic"/>
        </w:rPr>
        <w:t xml:space="preserve">Además, se debe establecer un proceso de confirmación continuo para la consideración de todos los futuros asesoramientos del GAC.</w:t>
      </w:r>
    </w:p>
    <w:p w14:paraId="21820ABF" w14:textId="77777777" w:rsidR="000219FD" w:rsidRDefault="000219FD" w:rsidP="000219FD">
      <w:pPr>
        <w:pStyle w:val="BodyText"/>
        <w:spacing w:line="276" w:lineRule="auto"/>
        <w:rPr>
          <w:rFonts w:ascii="Century Gothic" w:hAnsi="Century Gothic"/>
          <w:sz w:val="20"/>
          <w:szCs w:val="20"/>
        </w:rPr>
      </w:pPr>
    </w:p>
    <w:p w14:paraId="14E2FDEF" w14:textId="77777777" w:rsidR="000219FD" w:rsidRDefault="000219FD" w:rsidP="000219FD">
      <w:pPr>
        <w:pStyle w:val="Heading2"/>
      </w:pPr>
      <w:r>
        <w:t xml:space="preserve">Próximos pasos:</w:t>
      </w:r>
    </w:p>
    <w:p w14:paraId="6334644F" w14:textId="77777777" w:rsidR="000219FD" w:rsidRDefault="000219FD" w:rsidP="000219FD">
      <w:pPr>
        <w:rPr>
          <w:lang w:val="en-AU"/>
        </w:rPr>
      </w:pPr>
    </w:p>
    <w:p w14:paraId="6BF90429" w14:textId="77777777" w:rsidR="000219FD" w:rsidRPr="0093040F" w:rsidRDefault="000219FD" w:rsidP="000219FD">
      <w:pPr>
        <w:spacing w:line="276" w:lineRule="auto"/>
        <w:rPr>
          <w:color w:val="000000"/>
          <w:sz w:val="20"/>
          <w:szCs w:val="20"/>
          <w:rFonts w:ascii="Century Gothic" w:hAnsi="Century Gothic" w:cs="Calibri"/>
        </w:rPr>
      </w:pPr>
      <w:r>
        <w:rPr>
          <w:bCs/>
          <w:color w:val="000000"/>
          <w:sz w:val="20"/>
          <w:szCs w:val="20"/>
          <w:b/>
          <w:u w:val="single"/>
          <w:rFonts w:ascii="Century Gothic" w:hAnsi="Century Gothic"/>
        </w:rPr>
        <w:t xml:space="preserve">Confirmar el estado de asesoramientos anteriores:</w:t>
      </w:r>
      <w:r>
        <w:rPr>
          <w:bCs/>
          <w:color w:val="000000"/>
          <w:sz w:val="20"/>
          <w:szCs w:val="20"/>
          <w:b/>
          <w:rFonts w:ascii="Century Gothic" w:hAnsi="Century Gothic"/>
        </w:rPr>
        <w:t xml:space="preserve">  </w:t>
      </w:r>
      <w:r>
        <w:rPr>
          <w:bCs/>
          <w:color w:val="000000"/>
          <w:sz w:val="20"/>
          <w:szCs w:val="20"/>
          <w:rFonts w:ascii="Century Gothic" w:hAnsi="Century Gothic"/>
        </w:rPr>
        <w:t xml:space="preserve">Este orden del día de sesiones en el sitio web del GAC (véase - </w:t>
      </w:r>
      <w:hyperlink r:id="rId8" w:history="1">
        <w:r>
          <w:rPr>
            <w:rStyle w:val="Hyperlink"/>
            <w:bCs/>
            <w:sz w:val="20"/>
            <w:szCs w:val="20"/>
            <w:rFonts w:ascii="Century Gothic" w:hAnsi="Century Gothic"/>
          </w:rPr>
          <w:t xml:space="preserve">https://gac.icann.org/agendas/icann62-panama-city-agenda</w:t>
        </w:r>
      </w:hyperlink>
      <w:r>
        <w:rPr>
          <w:color w:val="000000"/>
          <w:sz w:val="20"/>
          <w:szCs w:val="20"/>
          <w:bCs/>
          <w:rFonts w:ascii="Century Gothic" w:hAnsi="Century Gothic"/>
        </w:rPr>
        <w:t xml:space="preserve">) </w:t>
      </w:r>
      <w:r>
        <w:rPr>
          <w:color w:val="000000"/>
          <w:sz w:val="20"/>
          <w:szCs w:val="20"/>
          <w:rFonts w:ascii="Century Gothic" w:hAnsi="Century Gothic"/>
        </w:rPr>
        <w:t xml:space="preserve">está acompañado por la última compilación del ARR de los162 puntos de asesoramiento ordenados en 44 páginas de hojas de cálculo.</w:t>
      </w:r>
      <w:r>
        <w:rPr>
          <w:color w:val="000000"/>
          <w:sz w:val="20"/>
          <w:szCs w:val="20"/>
          <w:rFonts w:ascii="Century Gothic" w:hAnsi="Century Gothic"/>
        </w:rPr>
        <w:t xml:space="preserve"> </w:t>
      </w:r>
      <w:r>
        <w:rPr>
          <w:color w:val="000000"/>
          <w:sz w:val="20"/>
          <w:szCs w:val="20"/>
          <w:rFonts w:ascii="Century Gothic" w:hAnsi="Century Gothic"/>
        </w:rPr>
        <w:t xml:space="preserve">Como se señaló en San Juan (y se debatió anteriormente en Abu Dabi en ICANN 60), uno de los pasos finales para poner en funcionamiento la base de datos – antes de ser publicada formalmente en línea y actualizada regularmente en el futuro – es que el GAC (“el proveedor de asesoramiento”) confirme las determinaciones y el estado que la organización de la ICANN ha realizado sobre los diversos puntos de asesoramiento.</w:t>
      </w:r>
    </w:p>
    <w:p w14:paraId="6248EDD8" w14:textId="079567EA" w:rsidR="000219FD" w:rsidRPr="0093040F" w:rsidRDefault="000219FD" w:rsidP="000219FD">
      <w:pPr>
        <w:spacing w:line="276" w:lineRule="auto"/>
        <w:rPr>
          <w:color w:val="000000"/>
          <w:sz w:val="20"/>
          <w:szCs w:val="20"/>
          <w:rFonts w:ascii="Century Gothic" w:hAnsi="Century Gothic" w:cs="Calibri"/>
        </w:rPr>
      </w:pPr>
      <w:r>
        <w:rPr>
          <w:color w:val="000000"/>
          <w:sz w:val="20"/>
          <w:szCs w:val="20"/>
          <w:rFonts w:ascii="Century Gothic" w:hAnsi="Century Gothic"/>
        </w:rPr>
        <w:t xml:space="preserve"> </w:t>
      </w:r>
      <w:r>
        <w:rPr>
          <w:color w:val="000000"/>
          <w:sz w:val="20"/>
          <w:szCs w:val="20"/>
          <w:rFonts w:ascii="Century Gothic" w:hAnsi="Century Gothic"/>
        </w:rPr>
        <w:t xml:space="preserve">Los miembros del GAC han debatido anteriormente qué podría hacerse para confirmar la caracterización de la organización de la ICANN de la implementación de los asesoramientos anteriores del comité, pero no se ha realizado una determinación final en cuanto a los próximos pasos adecuados.</w:t>
      </w:r>
    </w:p>
    <w:p w14:paraId="22D97128" w14:textId="77777777" w:rsidR="000219FD" w:rsidRPr="0093040F" w:rsidRDefault="000219FD" w:rsidP="000219FD">
      <w:pPr>
        <w:spacing w:line="276" w:lineRule="auto"/>
        <w:rPr>
          <w:color w:val="000000"/>
          <w:sz w:val="20"/>
          <w:szCs w:val="20"/>
          <w:rFonts w:ascii="Century Gothic" w:hAnsi="Century Gothic" w:cs="Calibri"/>
        </w:rPr>
      </w:pPr>
      <w:r>
        <w:rPr>
          <w:color w:val="000000"/>
          <w:sz w:val="20"/>
          <w:szCs w:val="20"/>
          <w:rFonts w:ascii="Century Gothic" w:hAnsi="Century Gothic"/>
        </w:rPr>
        <w:t xml:space="preserve"> </w:t>
      </w:r>
    </w:p>
    <w:p w14:paraId="0AD6BE69" w14:textId="77777777" w:rsidR="000219FD" w:rsidRPr="0093040F" w:rsidRDefault="000219FD" w:rsidP="000219FD">
      <w:pPr>
        <w:spacing w:line="276" w:lineRule="auto"/>
        <w:rPr>
          <w:color w:val="000000"/>
          <w:sz w:val="20"/>
          <w:szCs w:val="20"/>
          <w:rFonts w:ascii="Century Gothic" w:hAnsi="Century Gothic" w:cs="Calibri"/>
        </w:rPr>
      </w:pPr>
      <w:r>
        <w:rPr>
          <w:color w:val="000000"/>
          <w:sz w:val="20"/>
          <w:szCs w:val="20"/>
          <w:rFonts w:ascii="Century Gothic" w:hAnsi="Century Gothic"/>
        </w:rPr>
        <w:t xml:space="preserve">Las opciones para proceder con una evaluación del asesoramiento histórico parecerían incluir:</w:t>
      </w:r>
    </w:p>
    <w:p w14:paraId="6B53826E" w14:textId="77777777" w:rsidR="000219FD" w:rsidRPr="0093040F" w:rsidRDefault="000219FD" w:rsidP="000219FD">
      <w:pPr>
        <w:spacing w:line="276" w:lineRule="auto"/>
        <w:rPr>
          <w:color w:val="000000"/>
          <w:sz w:val="20"/>
          <w:szCs w:val="20"/>
          <w:rFonts w:ascii="Century Gothic" w:hAnsi="Century Gothic" w:cs="Calibri"/>
        </w:rPr>
      </w:pPr>
      <w:r>
        <w:rPr>
          <w:color w:val="000000"/>
          <w:sz w:val="20"/>
          <w:szCs w:val="20"/>
          <w:rFonts w:ascii="Century Gothic" w:hAnsi="Century Gothic"/>
        </w:rPr>
        <w:t xml:space="preserve"> </w:t>
      </w:r>
    </w:p>
    <w:p w14:paraId="7DBFB051" w14:textId="77777777" w:rsidR="000219FD" w:rsidRPr="0093040F" w:rsidRDefault="000219FD" w:rsidP="000219FD">
      <w:pPr>
        <w:spacing w:line="276" w:lineRule="auto"/>
        <w:ind w:left="720"/>
        <w:rPr>
          <w:color w:val="000000"/>
          <w:sz w:val="20"/>
          <w:szCs w:val="20"/>
          <w:rFonts w:ascii="Century Gothic" w:hAnsi="Century Gothic" w:cs="Calibri"/>
        </w:rPr>
      </w:pPr>
      <w:r>
        <w:rPr>
          <w:color w:val="000000"/>
          <w:sz w:val="20"/>
          <w:szCs w:val="20"/>
          <w:rFonts w:ascii="Century Gothic" w:hAnsi="Century Gothic"/>
        </w:rPr>
        <w:t xml:space="preserve">(1) una revisión completa de los 162 puntos de asesoramiento;</w:t>
      </w:r>
    </w:p>
    <w:p w14:paraId="3DDC0518" w14:textId="77777777" w:rsidR="000219FD" w:rsidRPr="0093040F" w:rsidRDefault="000219FD" w:rsidP="000219FD">
      <w:pPr>
        <w:spacing w:line="276" w:lineRule="auto"/>
        <w:ind w:left="720"/>
        <w:rPr>
          <w:color w:val="000000"/>
          <w:sz w:val="20"/>
          <w:szCs w:val="20"/>
          <w:rFonts w:ascii="Century Gothic" w:hAnsi="Century Gothic" w:cs="Calibri"/>
        </w:rPr>
      </w:pPr>
      <w:r>
        <w:rPr>
          <w:color w:val="000000"/>
          <w:sz w:val="20"/>
          <w:szCs w:val="20"/>
          <w:rFonts w:ascii="Century Gothic" w:hAnsi="Century Gothic"/>
        </w:rPr>
        <w:t xml:space="preserve">(2) un esfuerzo para “confirmar” sólo los 136 puntos de asesoramiento que la organización de la ICANN categoriza como “cerrados”:</w:t>
      </w:r>
    </w:p>
    <w:p w14:paraId="3CBC3253" w14:textId="77777777" w:rsidR="000219FD" w:rsidRPr="0093040F" w:rsidRDefault="000219FD" w:rsidP="000219FD">
      <w:pPr>
        <w:spacing w:line="276" w:lineRule="auto"/>
        <w:ind w:left="720"/>
        <w:rPr>
          <w:color w:val="000000"/>
          <w:sz w:val="20"/>
          <w:szCs w:val="20"/>
          <w:rFonts w:ascii="Century Gothic" w:hAnsi="Century Gothic" w:cs="Calibri"/>
        </w:rPr>
      </w:pPr>
      <w:r>
        <w:rPr>
          <w:color w:val="000000"/>
          <w:sz w:val="20"/>
          <w:szCs w:val="20"/>
          <w:rFonts w:ascii="Century Gothic" w:hAnsi="Century Gothic"/>
        </w:rPr>
        <w:t xml:space="preserve">(3) una revisión más limitada de solo aquellos puntos de asesoramiento que la organización de la ICANN caracteriza en modo “Evaluar y considerar” o “Implementación”; o</w:t>
      </w:r>
    </w:p>
    <w:p w14:paraId="1AE3745E" w14:textId="77777777" w:rsidR="000219FD" w:rsidRPr="0093040F" w:rsidRDefault="000219FD" w:rsidP="000219FD">
      <w:pPr>
        <w:spacing w:line="276" w:lineRule="auto"/>
        <w:ind w:left="720"/>
        <w:rPr>
          <w:color w:val="000000"/>
          <w:sz w:val="20"/>
          <w:szCs w:val="20"/>
          <w:rFonts w:ascii="Century Gothic" w:hAnsi="Century Gothic" w:cs="Calibri"/>
        </w:rPr>
      </w:pPr>
      <w:r>
        <w:rPr>
          <w:color w:val="000000"/>
          <w:sz w:val="20"/>
          <w:szCs w:val="20"/>
          <w:rFonts w:ascii="Century Gothic" w:hAnsi="Century Gothic"/>
        </w:rPr>
        <w:t xml:space="preserve">(4) algún otro enfoque.</w:t>
      </w:r>
    </w:p>
    <w:p w14:paraId="22F4084D" w14:textId="77777777" w:rsidR="000219FD" w:rsidRPr="0093040F" w:rsidRDefault="000219FD" w:rsidP="000219FD">
      <w:pPr>
        <w:spacing w:line="276" w:lineRule="auto"/>
        <w:rPr>
          <w:color w:val="000000"/>
          <w:sz w:val="20"/>
          <w:szCs w:val="20"/>
          <w:rFonts w:ascii="Century Gothic" w:hAnsi="Century Gothic" w:cs="Calibri"/>
        </w:rPr>
      </w:pPr>
      <w:r>
        <w:rPr>
          <w:color w:val="000000"/>
          <w:sz w:val="20"/>
          <w:szCs w:val="20"/>
          <w:rFonts w:ascii="Century Gothic" w:hAnsi="Century Gothic"/>
        </w:rPr>
        <w:t xml:space="preserve">  </w:t>
      </w:r>
    </w:p>
    <w:p w14:paraId="06EF36C3" w14:textId="77777777" w:rsidR="000219FD" w:rsidRPr="0093040F" w:rsidRDefault="000219FD" w:rsidP="000219FD">
      <w:pPr>
        <w:spacing w:line="276" w:lineRule="auto"/>
        <w:rPr>
          <w:color w:val="000000"/>
          <w:sz w:val="20"/>
          <w:szCs w:val="20"/>
          <w:rFonts w:ascii="Century Gothic" w:hAnsi="Century Gothic" w:cs="Calibri"/>
        </w:rPr>
      </w:pPr>
      <w:r>
        <w:rPr>
          <w:color w:val="000000"/>
          <w:sz w:val="20"/>
          <w:szCs w:val="20"/>
          <w:b/>
          <w:u w:val="single"/>
          <w:rFonts w:ascii="Century Gothic" w:hAnsi="Century Gothic"/>
        </w:rPr>
        <w:t xml:space="preserve">Expectativas de la sesión:</w:t>
      </w:r>
      <w:r>
        <w:rPr>
          <w:color w:val="000000"/>
          <w:sz w:val="20"/>
          <w:szCs w:val="20"/>
          <w:rFonts w:ascii="Century Gothic" w:hAnsi="Century Gothic"/>
        </w:rPr>
        <w:t xml:space="preserve">   </w:t>
      </w:r>
      <w:r>
        <w:rPr>
          <w:color w:val="000000"/>
          <w:sz w:val="20"/>
          <w:szCs w:val="20"/>
          <w:rFonts w:ascii="Century Gothic" w:hAnsi="Century Gothic"/>
        </w:rPr>
        <w:t xml:space="preserve">Durante esta sesión, se espera que los miembros del GAC brinden aportes sobre las cuatro posibles opciones y compartan ideas, sugerencias o recomendaciones acerca de cómo el GAC podría realizar una revisión de la manera más eficaz del inventario existente de asesoramientos anteriores.</w:t>
      </w:r>
      <w:r>
        <w:rPr>
          <w:color w:val="000000"/>
          <w:sz w:val="20"/>
          <w:szCs w:val="20"/>
          <w:rFonts w:ascii="Century Gothic" w:hAnsi="Century Gothic"/>
        </w:rPr>
        <w:t xml:space="preserve">  </w:t>
      </w:r>
    </w:p>
    <w:p w14:paraId="38F89298" w14:textId="40CE8FA5" w:rsidR="004361B1" w:rsidRDefault="004361B1" w:rsidP="004361B1">
      <w:pPr>
        <w:pStyle w:val="BodyText"/>
        <w:ind w:right="545"/>
      </w:pPr>
    </w:p>
    <w:p w14:paraId="4F69831C" w14:textId="1DD79EAB" w:rsidR="00D46285" w:rsidRDefault="00D46285" w:rsidP="004361B1">
      <w:pPr>
        <w:pStyle w:val="BodyText"/>
        <w:ind w:right="545"/>
      </w:pPr>
    </w:p>
    <w:p w14:paraId="73EEC342" w14:textId="6968AD9D" w:rsidR="00D46285" w:rsidRDefault="00D46285" w:rsidP="004361B1">
      <w:pPr>
        <w:pStyle w:val="BodyText"/>
        <w:ind w:right="545"/>
      </w:pPr>
    </w:p>
    <w:p w14:paraId="6FD95419" w14:textId="77777777" w:rsidR="00D46285" w:rsidRPr="00E06DE4" w:rsidRDefault="00D46285" w:rsidP="004361B1">
      <w:pPr>
        <w:pStyle w:val="BodyText"/>
        <w:ind w:right="545"/>
      </w:pPr>
    </w:p>
    <w:p w14:paraId="331C9076" w14:textId="77777777" w:rsidR="004361B1" w:rsidRDefault="004361B1" w:rsidP="00EA4C85">
      <w:pPr>
        <w:pStyle w:val="Heading2"/>
      </w:pPr>
      <w:bookmarkStart w:id="1" w:name="_Hlk484433727"/>
      <w:r>
        <w:t xml:space="preserve">Administración de la documentación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39"/>
      </w:tblGrid>
      <w:tr w:rsidR="004361B1" w:rsidRPr="003F43E3" w14:paraId="59EA12E9" w14:textId="77777777" w:rsidTr="00C365F8">
        <w:tc>
          <w:tcPr>
            <w:tcW w:w="3083" w:type="dxa"/>
            <w:vAlign w:val="center"/>
          </w:tcPr>
          <w:p w14:paraId="69DEBE08" w14:textId="77777777" w:rsidR="004361B1" w:rsidRPr="003F43E3" w:rsidRDefault="004361B1" w:rsidP="0012301E">
            <w:pPr>
              <w:ind w:right="-132"/>
              <w:rPr>
                <w:b/>
                <w:sz w:val="20"/>
                <w:szCs w:val="20"/>
                <w:rFonts w:ascii="Century Gothic" w:eastAsiaTheme="minorEastAsia" w:hAnsi="Century Gothic" w:cstheme="minorBidi"/>
              </w:rPr>
            </w:pPr>
            <w:r>
              <w:rPr>
                <w:b/>
                <w:sz w:val="20"/>
                <w:szCs w:val="20"/>
                <w:rFonts w:ascii="Century Gothic" w:hAnsi="Century Gothic"/>
              </w:rPr>
              <w:t xml:space="preserve">Título</w:t>
            </w:r>
          </w:p>
        </w:tc>
        <w:tc>
          <w:tcPr>
            <w:tcW w:w="5439" w:type="dxa"/>
            <w:vAlign w:val="center"/>
          </w:tcPr>
          <w:p w14:paraId="212D1778" w14:textId="2E384C29" w:rsidR="004361B1" w:rsidRPr="00EA3A02" w:rsidRDefault="00D46285" w:rsidP="003F39D5">
            <w:pPr>
              <w:ind w:right="545"/>
              <w:rPr>
                <w:sz w:val="20"/>
                <w:szCs w:val="20"/>
                <w:rFonts w:ascii="Century Gothic" w:eastAsiaTheme="minorEastAsia" w:hAnsi="Century Gothic" w:cstheme="minorBidi"/>
              </w:rPr>
            </w:pPr>
            <w:r>
              <w:rPr>
                <w:sz w:val="20"/>
                <w:szCs w:val="20"/>
                <w:rFonts w:ascii="Century Gothic" w:hAnsi="Century Gothic"/>
              </w:rPr>
              <w:t xml:space="preserve">Registro de Solicitudes de Acción</w:t>
            </w:r>
          </w:p>
        </w:tc>
      </w:tr>
      <w:tr w:rsidR="004361B1" w:rsidRPr="003F43E3" w14:paraId="6AC7363A" w14:textId="77777777" w:rsidTr="00C365F8">
        <w:tc>
          <w:tcPr>
            <w:tcW w:w="3083" w:type="dxa"/>
            <w:vAlign w:val="center"/>
          </w:tcPr>
          <w:p w14:paraId="3BD70AEF" w14:textId="77777777" w:rsidR="004361B1" w:rsidRPr="003F43E3" w:rsidRDefault="004361B1" w:rsidP="0012301E">
            <w:pPr>
              <w:ind w:right="-132"/>
              <w:rPr>
                <w:b/>
                <w:sz w:val="20"/>
                <w:szCs w:val="20"/>
                <w:rFonts w:ascii="Century Gothic" w:eastAsiaTheme="minorEastAsia" w:hAnsi="Century Gothic" w:cstheme="minorBidi"/>
              </w:rPr>
            </w:pPr>
            <w:r>
              <w:rPr>
                <w:b/>
                <w:sz w:val="20"/>
                <w:szCs w:val="20"/>
                <w:rFonts w:ascii="Century Gothic" w:hAnsi="Century Gothic"/>
              </w:rPr>
              <w:t xml:space="preserve">Distribución</w:t>
            </w:r>
          </w:p>
        </w:tc>
        <w:tc>
          <w:tcPr>
            <w:tcW w:w="5439" w:type="dxa"/>
            <w:vAlign w:val="center"/>
          </w:tcPr>
          <w:p w14:paraId="43CB56A1" w14:textId="77777777" w:rsidR="004361B1" w:rsidRPr="003F43E3" w:rsidRDefault="004361B1" w:rsidP="0012301E">
            <w:pPr>
              <w:ind w:right="545"/>
              <w:rPr>
                <w:sz w:val="20"/>
                <w:szCs w:val="20"/>
                <w:rFonts w:ascii="Century Gothic" w:eastAsiaTheme="minorEastAsia" w:hAnsi="Century Gothic" w:cstheme="minorBidi"/>
              </w:rPr>
            </w:pPr>
            <w:r>
              <w:rPr>
                <w:sz w:val="20"/>
                <w:szCs w:val="20"/>
                <w:rFonts w:ascii="Century Gothic" w:hAnsi="Century Gothic"/>
              </w:rPr>
              <w:t xml:space="preserve">Miembros del GAC</w:t>
            </w:r>
          </w:p>
        </w:tc>
      </w:tr>
      <w:tr w:rsidR="004361B1" w:rsidRPr="003F43E3" w14:paraId="10FBEF62" w14:textId="77777777" w:rsidTr="00C365F8">
        <w:tc>
          <w:tcPr>
            <w:tcW w:w="3083" w:type="dxa"/>
            <w:vAlign w:val="center"/>
          </w:tcPr>
          <w:p w14:paraId="777843CE" w14:textId="77777777" w:rsidR="004361B1" w:rsidRPr="003F43E3" w:rsidRDefault="004361B1" w:rsidP="0012301E">
            <w:pPr>
              <w:ind w:right="-132"/>
              <w:rPr>
                <w:b/>
                <w:sz w:val="20"/>
                <w:szCs w:val="20"/>
                <w:rFonts w:ascii="Century Gothic" w:eastAsiaTheme="minorEastAsia" w:hAnsi="Century Gothic" w:cstheme="minorBidi"/>
              </w:rPr>
            </w:pPr>
            <w:r>
              <w:rPr>
                <w:b/>
                <w:sz w:val="20"/>
                <w:szCs w:val="20"/>
                <w:rFonts w:ascii="Century Gothic" w:hAnsi="Century Gothic"/>
              </w:rPr>
              <w:t xml:space="preserve">Fecha de distribución</w:t>
            </w:r>
          </w:p>
        </w:tc>
        <w:tc>
          <w:tcPr>
            <w:tcW w:w="5439" w:type="dxa"/>
            <w:vAlign w:val="center"/>
          </w:tcPr>
          <w:p w14:paraId="24CEF265" w14:textId="6D501723" w:rsidR="004361B1" w:rsidRDefault="000219FD" w:rsidP="00533EC9">
            <w:pPr>
              <w:ind w:right="545"/>
              <w:rPr>
                <w:sz w:val="20"/>
                <w:szCs w:val="20"/>
                <w:rFonts w:ascii="Century Gothic" w:eastAsiaTheme="minorEastAsia" w:hAnsi="Century Gothic" w:cstheme="minorBidi"/>
              </w:rPr>
            </w:pPr>
            <w:r>
              <w:rPr>
                <w:sz w:val="20"/>
                <w:szCs w:val="20"/>
                <w:rFonts w:ascii="Century Gothic" w:hAnsi="Century Gothic"/>
              </w:rPr>
              <w:t xml:space="preserve">Versión 1.0   7 de junio de 2018</w:t>
            </w:r>
          </w:p>
          <w:p w14:paraId="5BCE3609" w14:textId="543688F0" w:rsidR="000219FD" w:rsidRPr="003F43E3" w:rsidRDefault="000219FD" w:rsidP="00533EC9">
            <w:pPr>
              <w:ind w:right="545"/>
              <w:rPr>
                <w:sz w:val="20"/>
                <w:szCs w:val="20"/>
                <w:rFonts w:ascii="Century Gothic" w:eastAsiaTheme="minorEastAsia" w:hAnsi="Century Gothic" w:cstheme="minorBidi"/>
              </w:rPr>
            </w:pPr>
            <w:r>
              <w:rPr>
                <w:sz w:val="20"/>
                <w:szCs w:val="20"/>
                <w:rFonts w:ascii="Century Gothic" w:hAnsi="Century Gothic"/>
              </w:rPr>
              <w:t xml:space="preserve">Versión 1.1   14 de junio de 2018</w:t>
            </w:r>
          </w:p>
        </w:tc>
      </w:tr>
      <w:bookmarkEnd w:id="1"/>
    </w:tbl>
    <w:p w14:paraId="2C1B3C99" w14:textId="77777777" w:rsidR="004361B1" w:rsidRDefault="004361B1" w:rsidP="004361B1">
      <w:pPr>
        <w:pStyle w:val="BodyText"/>
        <w:ind w:right="545"/>
        <w:rPr>
          <w:color w:val="000000"/>
          <w:szCs w:val="20"/>
        </w:rPr>
      </w:pPr>
    </w:p>
    <w:p w14:paraId="2BF083B0" w14:textId="77777777" w:rsidR="004361B1" w:rsidRPr="004361B1" w:rsidRDefault="004361B1" w:rsidP="004361B1">
      <w:pPr>
        <w:pStyle w:val="BodyText"/>
        <w:rPr>
          <w:lang w:val="en-AU"/>
        </w:rPr>
      </w:pPr>
    </w:p>
    <w:sectPr w:rsidR="004361B1" w:rsidRPr="004361B1" w:rsidSect="0012301E">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6185" w14:textId="77777777" w:rsidR="003E49D9" w:rsidRDefault="003E49D9">
      <w:r>
        <w:separator/>
      </w:r>
    </w:p>
  </w:endnote>
  <w:endnote w:type="continuationSeparator" w:id="0">
    <w:p w14:paraId="601A3034" w14:textId="77777777" w:rsidR="003E49D9" w:rsidRDefault="003E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1C59" w14:textId="77777777" w:rsidR="0012301E" w:rsidRDefault="004361B1" w:rsidP="001230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D6949" w14:textId="77777777" w:rsidR="0012301E" w:rsidRDefault="0012301E" w:rsidP="001230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CA4A" w14:textId="77777777" w:rsidR="0012301E" w:rsidRDefault="004361B1" w:rsidP="001230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046">
      <w:rPr>
        <w:rStyle w:val="PageNumber"/>
      </w:rPr>
      <w:t>1</w:t>
    </w:r>
    <w:r>
      <w:rPr>
        <w:rStyle w:val="PageNumber"/>
      </w:rPr>
      <w:fldChar w:fldCharType="end"/>
    </w:r>
  </w:p>
  <w:p w14:paraId="28613BF2" w14:textId="77777777" w:rsidR="0012301E" w:rsidRDefault="0012301E" w:rsidP="001230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4712D" w14:textId="77777777" w:rsidR="003E49D9" w:rsidRDefault="003E49D9">
      <w:r>
        <w:separator/>
      </w:r>
    </w:p>
  </w:footnote>
  <w:footnote w:type="continuationSeparator" w:id="0">
    <w:p w14:paraId="5B0F2B00" w14:textId="77777777" w:rsidR="003E49D9" w:rsidRDefault="003E4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B69B" w14:textId="77777777" w:rsidR="0012301E" w:rsidRDefault="004361B1">
    <w:pPr>
      <w:pStyle w:val="Header"/>
    </w:pPr>
    <w:r>
      <w:rPr>
        <w:rFonts w:asciiTheme="majorHAnsi" w:hAnsiTheme="majorHAnsi"/>
      </w:rPr>
      <w:drawing>
        <wp:anchor distT="0" distB="0" distL="114300" distR="114300" simplePos="0" relativeHeight="251659264" behindDoc="1" locked="0" layoutInCell="1" allowOverlap="1" wp14:anchorId="18902393" wp14:editId="6CB1868E">
          <wp:simplePos x="0" y="0"/>
          <wp:positionH relativeFrom="column">
            <wp:posOffset>2051367</wp:posOffset>
          </wp:positionH>
          <wp:positionV relativeFrom="paragraph">
            <wp:posOffset>-893127</wp:posOffset>
          </wp:positionV>
          <wp:extent cx="1363816" cy="2123953"/>
          <wp:effectExtent l="953" t="0" r="9207" b="0"/>
          <wp:wrapNone/>
          <wp:docPr id="2" name="Picture 2" descr="Macintosh HD:Users:julia.charvolen:Desktop:GAC:GAC website:GAC logo :GAC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ulia.charvolen:Desktop:GAC:GAC website:GAC logo :GAC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363816" cy="212395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A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B4799"/>
    <w:multiLevelType w:val="multilevel"/>
    <w:tmpl w:val="E13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D61E6"/>
    <w:multiLevelType w:val="multilevel"/>
    <w:tmpl w:val="203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896B99"/>
    <w:multiLevelType w:val="hybridMultilevel"/>
    <w:tmpl w:val="10168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4E6B09"/>
    <w:multiLevelType w:val="hybridMultilevel"/>
    <w:tmpl w:val="2E48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E3F46"/>
    <w:multiLevelType w:val="hybridMultilevel"/>
    <w:tmpl w:val="46B2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348F7"/>
    <w:multiLevelType w:val="hybridMultilevel"/>
    <w:tmpl w:val="E00A97AC"/>
    <w:lvl w:ilvl="0" w:tplc="D248C3E0">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072D34"/>
    <w:multiLevelType w:val="hybridMultilevel"/>
    <w:tmpl w:val="C03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B1"/>
    <w:rsid w:val="000219FD"/>
    <w:rsid w:val="00083781"/>
    <w:rsid w:val="000A2E18"/>
    <w:rsid w:val="000A353D"/>
    <w:rsid w:val="000F5DA7"/>
    <w:rsid w:val="001002A0"/>
    <w:rsid w:val="0010486C"/>
    <w:rsid w:val="00110CA7"/>
    <w:rsid w:val="0012301E"/>
    <w:rsid w:val="00141865"/>
    <w:rsid w:val="001F22E5"/>
    <w:rsid w:val="00285EDD"/>
    <w:rsid w:val="00291620"/>
    <w:rsid w:val="002E0299"/>
    <w:rsid w:val="00331F2A"/>
    <w:rsid w:val="00366290"/>
    <w:rsid w:val="003765A3"/>
    <w:rsid w:val="00396B5D"/>
    <w:rsid w:val="003E49D9"/>
    <w:rsid w:val="003F39D5"/>
    <w:rsid w:val="004134C7"/>
    <w:rsid w:val="004361B1"/>
    <w:rsid w:val="00492172"/>
    <w:rsid w:val="004A7363"/>
    <w:rsid w:val="004E3525"/>
    <w:rsid w:val="004E4507"/>
    <w:rsid w:val="00533EC9"/>
    <w:rsid w:val="005B60AA"/>
    <w:rsid w:val="00603893"/>
    <w:rsid w:val="00671DD7"/>
    <w:rsid w:val="006B0F0E"/>
    <w:rsid w:val="007074E5"/>
    <w:rsid w:val="00775D36"/>
    <w:rsid w:val="007B5355"/>
    <w:rsid w:val="008F68D5"/>
    <w:rsid w:val="00AC08BE"/>
    <w:rsid w:val="00B00F9D"/>
    <w:rsid w:val="00BC6D1B"/>
    <w:rsid w:val="00BE5829"/>
    <w:rsid w:val="00C008C9"/>
    <w:rsid w:val="00C0678C"/>
    <w:rsid w:val="00C365F8"/>
    <w:rsid w:val="00D46285"/>
    <w:rsid w:val="00DD157E"/>
    <w:rsid w:val="00DE28B4"/>
    <w:rsid w:val="00E01D4E"/>
    <w:rsid w:val="00E15046"/>
    <w:rsid w:val="00E15B53"/>
    <w:rsid w:val="00E6612A"/>
    <w:rsid w:val="00EA4C85"/>
    <w:rsid w:val="00F42B96"/>
    <w:rsid w:val="00F7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33D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1B1"/>
    <w:rPr>
      <w:rFonts w:ascii="Times New Roman" w:eastAsia="Times New Roman" w:hAnsi="Times New Roman" w:cs="Times New Roman"/>
    </w:rPr>
  </w:style>
  <w:style w:type="paragraph" w:styleId="Heading1">
    <w:name w:val="heading 1"/>
    <w:next w:val="BodyText"/>
    <w:link w:val="Heading1Char"/>
    <w:uiPriority w:val="9"/>
    <w:qFormat/>
    <w:rsid w:val="004361B1"/>
    <w:pPr>
      <w:keepNext/>
      <w:keepLines/>
      <w:pageBreakBefore/>
      <w:pBdr>
        <w:top w:val="single" w:sz="4" w:space="1" w:color="00408E"/>
        <w:bottom w:val="single" w:sz="4" w:space="1" w:color="00408E"/>
      </w:pBdr>
      <w:spacing w:after="200" w:line="276" w:lineRule="auto"/>
      <w:outlineLvl w:val="0"/>
    </w:pPr>
    <w:rPr>
      <w:rFonts w:ascii="Century Gothic" w:eastAsia="Calibri" w:hAnsi="Century Gothic" w:cs="Times New Roman"/>
      <w:b/>
      <w:color w:val="00408E"/>
      <w:sz w:val="28"/>
      <w:szCs w:val="28"/>
      <w:lang w:val="es-MX"/>
    </w:rPr>
  </w:style>
  <w:style w:type="paragraph" w:styleId="Heading2">
    <w:name w:val="heading 2"/>
    <w:basedOn w:val="BodyText"/>
    <w:next w:val="BodyText"/>
    <w:link w:val="Heading2Char"/>
    <w:autoRedefine/>
    <w:uiPriority w:val="9"/>
    <w:unhideWhenUsed/>
    <w:qFormat/>
    <w:rsid w:val="00EA4C85"/>
    <w:pPr>
      <w:keepNext/>
      <w:keepLines/>
      <w:spacing w:after="0" w:line="276" w:lineRule="auto"/>
      <w:ind w:right="547"/>
      <w:outlineLvl w:val="1"/>
    </w:pPr>
    <w:rPr>
      <w:rFonts w:ascii="Century Gothic" w:eastAsia="Calibri" w:hAnsi="Century Gothic"/>
      <w:b/>
      <w:color w:val="2F5496" w:themeColor="accent1" w:themeShade="BF"/>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1B1"/>
    <w:rPr>
      <w:rFonts w:ascii="Century Gothic" w:eastAsia="Calibri" w:hAnsi="Century Gothic" w:cs="Times New Roman"/>
      <w:b/>
      <w:color w:val="00408E"/>
      <w:sz w:val="28"/>
      <w:szCs w:val="28"/>
      <w:lang w:val="es-MX"/>
    </w:rPr>
  </w:style>
  <w:style w:type="character" w:customStyle="1" w:styleId="Heading2Char">
    <w:name w:val="Heading 2 Char"/>
    <w:basedOn w:val="DefaultParagraphFont"/>
    <w:link w:val="Heading2"/>
    <w:uiPriority w:val="9"/>
    <w:rsid w:val="00EA4C85"/>
    <w:rPr>
      <w:rFonts w:ascii="Century Gothic" w:eastAsia="Calibri" w:hAnsi="Century Gothic" w:cs="Times New Roman"/>
      <w:b/>
      <w:color w:val="2F5496" w:themeColor="accent1" w:themeShade="BF"/>
      <w:lang w:val="es-MX"/>
    </w:rPr>
  </w:style>
  <w:style w:type="paragraph" w:styleId="Header">
    <w:name w:val="header"/>
    <w:basedOn w:val="Normal"/>
    <w:link w:val="HeaderChar"/>
    <w:uiPriority w:val="99"/>
    <w:unhideWhenUsed/>
    <w:rsid w:val="004361B1"/>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361B1"/>
    <w:rPr>
      <w:rFonts w:eastAsiaTheme="minorEastAsia"/>
    </w:rPr>
  </w:style>
  <w:style w:type="paragraph" w:styleId="Footer">
    <w:name w:val="footer"/>
    <w:basedOn w:val="Normal"/>
    <w:link w:val="FooterChar"/>
    <w:uiPriority w:val="99"/>
    <w:unhideWhenUsed/>
    <w:rsid w:val="004361B1"/>
    <w:pPr>
      <w:tabs>
        <w:tab w:val="center" w:pos="4536"/>
        <w:tab w:val="right" w:pos="9072"/>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361B1"/>
    <w:rPr>
      <w:rFonts w:eastAsiaTheme="minorEastAsia"/>
    </w:rPr>
  </w:style>
  <w:style w:type="character" w:styleId="PageNumber">
    <w:name w:val="page number"/>
    <w:basedOn w:val="DefaultParagraphFont"/>
    <w:uiPriority w:val="99"/>
    <w:semiHidden/>
    <w:unhideWhenUsed/>
    <w:rsid w:val="004361B1"/>
  </w:style>
  <w:style w:type="paragraph" w:styleId="BodyText">
    <w:name w:val="Body Text"/>
    <w:basedOn w:val="Normal"/>
    <w:link w:val="BodyTextChar"/>
    <w:uiPriority w:val="99"/>
    <w:unhideWhenUsed/>
    <w:rsid w:val="004361B1"/>
    <w:pPr>
      <w:spacing w:after="120"/>
    </w:pPr>
  </w:style>
  <w:style w:type="character" w:customStyle="1" w:styleId="BodyTextChar">
    <w:name w:val="Body Text Char"/>
    <w:basedOn w:val="DefaultParagraphFont"/>
    <w:link w:val="BodyText"/>
    <w:uiPriority w:val="99"/>
    <w:rsid w:val="004361B1"/>
    <w:rPr>
      <w:rFonts w:ascii="Times New Roman" w:eastAsia="Times New Roman" w:hAnsi="Times New Roman" w:cs="Times New Roman"/>
    </w:rPr>
  </w:style>
  <w:style w:type="paragraph" w:styleId="ListParagraph">
    <w:name w:val="List Paragraph"/>
    <w:basedOn w:val="Normal"/>
    <w:uiPriority w:val="34"/>
    <w:qFormat/>
    <w:rsid w:val="004361B1"/>
    <w:pPr>
      <w:ind w:left="720"/>
      <w:contextualSpacing/>
    </w:pPr>
  </w:style>
  <w:style w:type="character" w:styleId="Hyperlink">
    <w:name w:val="Hyperlink"/>
    <w:basedOn w:val="DefaultParagraphFont"/>
    <w:uiPriority w:val="99"/>
    <w:unhideWhenUsed/>
    <w:rsid w:val="004361B1"/>
    <w:rPr>
      <w:color w:val="0563C1" w:themeColor="hyperlink"/>
      <w:u w:val="single"/>
    </w:rPr>
  </w:style>
  <w:style w:type="paragraph" w:styleId="NormalWeb">
    <w:name w:val="Normal (Web)"/>
    <w:basedOn w:val="Normal"/>
    <w:uiPriority w:val="99"/>
    <w:semiHidden/>
    <w:unhideWhenUsed/>
    <w:rsid w:val="004361B1"/>
    <w:pPr>
      <w:spacing w:before="100" w:beforeAutospacing="1" w:after="100" w:afterAutospacing="1"/>
    </w:pPr>
  </w:style>
  <w:style w:type="character" w:styleId="Strong">
    <w:name w:val="Strong"/>
    <w:basedOn w:val="DefaultParagraphFont"/>
    <w:uiPriority w:val="22"/>
    <w:qFormat/>
    <w:rsid w:val="004361B1"/>
    <w:rPr>
      <w:b/>
      <w:bCs/>
    </w:rPr>
  </w:style>
  <w:style w:type="character" w:styleId="FollowedHyperlink">
    <w:name w:val="FollowedHyperlink"/>
    <w:basedOn w:val="DefaultParagraphFont"/>
    <w:uiPriority w:val="99"/>
    <w:semiHidden/>
    <w:unhideWhenUsed/>
    <w:rsid w:val="008F6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395">
      <w:bodyDiv w:val="1"/>
      <w:marLeft w:val="0"/>
      <w:marRight w:val="0"/>
      <w:marTop w:val="0"/>
      <w:marBottom w:val="0"/>
      <w:divBdr>
        <w:top w:val="none" w:sz="0" w:space="0" w:color="auto"/>
        <w:left w:val="none" w:sz="0" w:space="0" w:color="auto"/>
        <w:bottom w:val="none" w:sz="0" w:space="0" w:color="auto"/>
        <w:right w:val="none" w:sz="0" w:space="0" w:color="auto"/>
      </w:divBdr>
    </w:div>
    <w:div w:id="104034657">
      <w:bodyDiv w:val="1"/>
      <w:marLeft w:val="0"/>
      <w:marRight w:val="0"/>
      <w:marTop w:val="0"/>
      <w:marBottom w:val="0"/>
      <w:divBdr>
        <w:top w:val="none" w:sz="0" w:space="0" w:color="auto"/>
        <w:left w:val="none" w:sz="0" w:space="0" w:color="auto"/>
        <w:bottom w:val="none" w:sz="0" w:space="0" w:color="auto"/>
        <w:right w:val="none" w:sz="0" w:space="0" w:color="auto"/>
      </w:divBdr>
    </w:div>
    <w:div w:id="285741320">
      <w:bodyDiv w:val="1"/>
      <w:marLeft w:val="0"/>
      <w:marRight w:val="0"/>
      <w:marTop w:val="0"/>
      <w:marBottom w:val="0"/>
      <w:divBdr>
        <w:top w:val="none" w:sz="0" w:space="0" w:color="auto"/>
        <w:left w:val="none" w:sz="0" w:space="0" w:color="auto"/>
        <w:bottom w:val="none" w:sz="0" w:space="0" w:color="auto"/>
        <w:right w:val="none" w:sz="0" w:space="0" w:color="auto"/>
      </w:divBdr>
    </w:div>
    <w:div w:id="6763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gac.icann.org/agendas/icann62-panama-city-agen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tic.ptbl.co/static/attachments/169285/1520888837.pdf?15208888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Charvolen</dc:creator>
  <cp:keywords/>
  <dc:description/>
  <cp:lastModifiedBy>Tom Dale</cp:lastModifiedBy>
  <cp:revision>4</cp:revision>
  <dcterms:created xsi:type="dcterms:W3CDTF">2018-06-06T23:41:00Z</dcterms:created>
  <dcterms:modified xsi:type="dcterms:W3CDTF">2018-06-14T01:34:00Z</dcterms:modified>
</cp:coreProperties>
</file>